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DAFAB9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F77D1F">
        <w:rPr>
          <w:rFonts w:ascii="Verdana" w:hAnsi="Verdana" w:cstheme="minorHAnsi"/>
          <w:b/>
          <w:sz w:val="20"/>
        </w:rPr>
        <w:t>419</w:t>
      </w:r>
      <w:r w:rsidR="00357FEE">
        <w:rPr>
          <w:rFonts w:ascii="Verdana" w:hAnsi="Verdana" w:cstheme="minorHAnsi"/>
          <w:b/>
          <w:sz w:val="20"/>
        </w:rPr>
        <w:t>5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77D1F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F77D1F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F77D1F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F77D1F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F77D1F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A0531A8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77D1F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12F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2D23"/>
    <w:rsid w:val="00F65859"/>
    <w:rsid w:val="00F664AA"/>
    <w:rsid w:val="00F71902"/>
    <w:rsid w:val="00F724BA"/>
    <w:rsid w:val="00F751D8"/>
    <w:rsid w:val="00F77D1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7 do SWZ.docx</dmsv2BaseFileName>
    <dmsv2BaseDisplayName xmlns="http://schemas.microsoft.com/sharepoint/v3">4195_Załącznik nr 7 do SWZ</dmsv2BaseDisplayName>
    <dmsv2SWPP2ObjectNumber xmlns="http://schemas.microsoft.com/sharepoint/v3">POST/DYS/OB/GZ/04195/2025                         </dmsv2SWPP2ObjectNumber>
    <dmsv2SWPP2SumMD5 xmlns="http://schemas.microsoft.com/sharepoint/v3">4facb519059d31ce12989e6332912036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23806887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DPFVW34YURAE-1996658973-15023</_dlc_DocId>
    <_dlc_DocIdUrl xmlns="a19cb1c7-c5c7-46d4-85ae-d83685407bba">
      <Url>https://swpp2.dms.gkpge.pl/sites/40/_layouts/15/DocIdRedir.aspx?ID=DPFVW34YURAE-1996658973-15023</Url>
      <Description>DPFVW34YURAE-1996658973-15023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D5982F-948B-4E38-8058-61DD8A828EC6}"/>
</file>

<file path=customXml/itemProps5.xml><?xml version="1.0" encoding="utf-8"?>
<ds:datastoreItem xmlns:ds="http://schemas.openxmlformats.org/officeDocument/2006/customXml" ds:itemID="{A9F13279-F19F-4C66-82D7-3D28FC733FC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2025-11-21T12:10:00Z</dcterms:created>
  <dcterms:modified xsi:type="dcterms:W3CDTF">2025-11-21T12:10:00Z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b1d68eb7-cb93-4e0a-ba1a-40627f321bcb</vt:lpwstr>
  </property>
</Properties>
</file>